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FE" w:rsidRPr="002141FE" w:rsidRDefault="002141FE" w:rsidP="002141FE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8F5FE"/>
        </w:rPr>
        <w:t>поточна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8F5F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8F5FE"/>
        </w:rPr>
        <w:t>редакція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8F5FE"/>
        </w:rPr>
        <w:t xml:space="preserve"> —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8F5FE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E8F5FE"/>
        </w:rPr>
        <w:t>Редакція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8F5FE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8F5FE"/>
        </w:rPr>
        <w:t>від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8F5FE"/>
        </w:rPr>
        <w:t> </w:t>
      </w:r>
      <w:r>
        <w:rPr>
          <w:rFonts w:ascii="Tahoma" w:hAnsi="Tahoma" w:cs="Tahoma"/>
          <w:b/>
          <w:bCs/>
          <w:color w:val="000080"/>
          <w:sz w:val="18"/>
          <w:szCs w:val="18"/>
          <w:bdr w:val="none" w:sz="0" w:space="0" w:color="auto" w:frame="1"/>
          <w:shd w:val="clear" w:color="auto" w:fill="E8F5FE"/>
        </w:rPr>
        <w:t>01.01.2016</w:t>
      </w:r>
      <w:r>
        <w:rPr>
          <w:rFonts w:ascii="Tahoma" w:hAnsi="Tahoma" w:cs="Tahoma"/>
          <w:b/>
          <w:bCs/>
          <w:color w:val="000080"/>
          <w:sz w:val="18"/>
          <w:szCs w:val="18"/>
          <w:bdr w:val="none" w:sz="0" w:space="0" w:color="auto" w:frame="1"/>
          <w:shd w:val="clear" w:color="auto" w:fill="E8F5FE"/>
          <w:lang w:val="uk-UA"/>
        </w:rPr>
        <w:t xml:space="preserve">                                                                                </w:t>
      </w:r>
      <w:r w:rsidRPr="002141FE">
        <w:rPr>
          <w:rFonts w:ascii="Tahoma" w:hAnsi="Tahoma" w:cs="Tahoma"/>
          <w:b/>
          <w:bCs/>
          <w:color w:val="000080"/>
          <w:sz w:val="28"/>
          <w:szCs w:val="28"/>
          <w:bdr w:val="none" w:sz="0" w:space="0" w:color="auto" w:frame="1"/>
          <w:shd w:val="clear" w:color="auto" w:fill="E8F5FE"/>
          <w:lang w:val="uk-UA"/>
        </w:rPr>
        <w:t>ВИТЯГ</w:t>
      </w:r>
    </w:p>
    <w:p w:rsidR="002141FE" w:rsidRDefault="002141FE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</w:p>
    <w:p w:rsidR="002141FE" w:rsidRDefault="002141FE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</w:p>
    <w:p w:rsidR="006538D4" w:rsidRDefault="002141FE" w:rsidP="002141F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 w:rsidRPr="002141F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КРИМІНАЛЬНИЙ КОДЕКС УКРАЇНИ</w:t>
      </w:r>
    </w:p>
    <w:p w:rsidR="002141FE" w:rsidRPr="00FA32E2" w:rsidRDefault="002141FE" w:rsidP="002141F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XVIII </w:t>
      </w:r>
    </w:p>
    <w:p w:rsidR="002141FE" w:rsidRPr="00FA32E2" w:rsidRDefault="002141FE" w:rsidP="002141F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2E2">
        <w:rPr>
          <w:rFonts w:ascii="Times New Roman" w:hAnsi="Times New Roman" w:cs="Times New Roman"/>
          <w:b/>
          <w:sz w:val="28"/>
          <w:szCs w:val="28"/>
          <w:lang w:val="uk-UA"/>
        </w:rPr>
        <w:t>ЗЛОЧИНИ ПРОТИ ПРАВОСУДДЯ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proofErr w:type="spellStart"/>
      <w:r>
        <w:rPr>
          <w:rStyle w:val="rvts9"/>
          <w:b/>
          <w:bCs/>
          <w:color w:val="000000"/>
          <w:bdr w:val="none" w:sz="0" w:space="0" w:color="auto" w:frame="1"/>
        </w:rPr>
        <w:t>Стаття</w:t>
      </w:r>
      <w:proofErr w:type="spellEnd"/>
      <w:r>
        <w:rPr>
          <w:rStyle w:val="rvts9"/>
          <w:b/>
          <w:bCs/>
          <w:color w:val="000000"/>
          <w:bdr w:val="none" w:sz="0" w:space="0" w:color="auto" w:frame="1"/>
        </w:rPr>
        <w:t xml:space="preserve"> 384.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Завідомо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неправдиве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показання</w:t>
      </w:r>
      <w:proofErr w:type="spellEnd"/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0" w:name="n2746"/>
      <w:bookmarkEnd w:id="0"/>
      <w:r>
        <w:rPr>
          <w:color w:val="000000"/>
        </w:rPr>
        <w:t xml:space="preserve">1. </w:t>
      </w:r>
      <w:proofErr w:type="spellStart"/>
      <w:r>
        <w:rPr>
          <w:color w:val="000000"/>
        </w:rPr>
        <w:t>Завідомо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неправдиве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свідка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потерпілого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завідомо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неправдивий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висновок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експерта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провадження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досудового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розслідування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здійснення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провадження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розслідування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тимчасовою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слідчою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спеціальною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тимчасовою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слідчою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комісією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Верховно</w:t>
      </w:r>
      <w:proofErr w:type="gramStart"/>
      <w:r>
        <w:rPr>
          <w:color w:val="000000"/>
        </w:rPr>
        <w:t>ї</w:t>
      </w:r>
      <w:proofErr w:type="spellEnd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ади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суді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завідомо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неправдивий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оцінювача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оцінку</w:t>
      </w:r>
      <w:proofErr w:type="spellEnd"/>
      <w:r>
        <w:rPr>
          <w:color w:val="000000"/>
        </w:rPr>
        <w:t xml:space="preserve"> майна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здійснення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провадження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завідомо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неправильний</w:t>
      </w:r>
      <w:proofErr w:type="spellEnd"/>
      <w:r>
        <w:rPr>
          <w:color w:val="000000"/>
        </w:rPr>
        <w:t xml:space="preserve"> переклад, </w:t>
      </w:r>
      <w:proofErr w:type="spellStart"/>
      <w:r>
        <w:rPr>
          <w:color w:val="000000"/>
        </w:rPr>
        <w:t>зроблений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перекладачем</w:t>
      </w:r>
      <w:proofErr w:type="spellEnd"/>
      <w:r>
        <w:rPr>
          <w:color w:val="000000"/>
        </w:rPr>
        <w:t xml:space="preserve"> у таких самих </w:t>
      </w:r>
      <w:proofErr w:type="spellStart"/>
      <w:r>
        <w:rPr>
          <w:color w:val="000000"/>
        </w:rPr>
        <w:t>випадках</w:t>
      </w:r>
      <w:proofErr w:type="spellEnd"/>
      <w:r>
        <w:rPr>
          <w:color w:val="000000"/>
        </w:rPr>
        <w:t>, -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" w:name="n2747"/>
      <w:bookmarkEnd w:id="1"/>
      <w:proofErr w:type="spellStart"/>
      <w:r>
        <w:rPr>
          <w:color w:val="000000"/>
        </w:rPr>
        <w:t>караються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виправними</w:t>
      </w:r>
      <w:proofErr w:type="spellEnd"/>
      <w:r>
        <w:rPr>
          <w:color w:val="000000"/>
        </w:rPr>
        <w:t xml:space="preserve"> роботами на строк до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арештом</w:t>
      </w:r>
      <w:proofErr w:type="spellEnd"/>
      <w:r>
        <w:rPr>
          <w:color w:val="000000"/>
        </w:rPr>
        <w:t xml:space="preserve"> на строк до шести </w:t>
      </w:r>
      <w:proofErr w:type="spellStart"/>
      <w:r>
        <w:rPr>
          <w:color w:val="000000"/>
        </w:rPr>
        <w:t>місяців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обмеженням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волі</w:t>
      </w:r>
      <w:proofErr w:type="spellEnd"/>
      <w:r>
        <w:rPr>
          <w:color w:val="000000"/>
        </w:rPr>
        <w:t xml:space="preserve"> на строк до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>.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" w:name="n2748"/>
      <w:bookmarkEnd w:id="2"/>
      <w:r>
        <w:rPr>
          <w:color w:val="000000"/>
        </w:rPr>
        <w:t xml:space="preserve">2. </w:t>
      </w:r>
      <w:proofErr w:type="spellStart"/>
      <w:r>
        <w:rPr>
          <w:color w:val="000000"/>
        </w:rPr>
        <w:t>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поєднані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обвинуваченням</w:t>
      </w:r>
      <w:proofErr w:type="spellEnd"/>
      <w:r>
        <w:rPr>
          <w:color w:val="000000"/>
        </w:rPr>
        <w:t xml:space="preserve"> у </w:t>
      </w:r>
      <w:proofErr w:type="gramStart"/>
      <w:r>
        <w:rPr>
          <w:color w:val="000000"/>
        </w:rPr>
        <w:t>тяжкому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особливо тяжкому </w:t>
      </w:r>
      <w:proofErr w:type="spellStart"/>
      <w:r>
        <w:rPr>
          <w:color w:val="000000"/>
        </w:rPr>
        <w:t>злочині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створенням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обвинувачення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захисту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вчинені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корисливих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мотивів</w:t>
      </w:r>
      <w:proofErr w:type="spellEnd"/>
      <w:r>
        <w:rPr>
          <w:color w:val="000000"/>
        </w:rPr>
        <w:t>, -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" w:name="n2749"/>
      <w:bookmarkEnd w:id="3"/>
      <w:proofErr w:type="spellStart"/>
      <w:r>
        <w:rPr>
          <w:color w:val="000000"/>
        </w:rPr>
        <w:t>караються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виправними</w:t>
      </w:r>
      <w:proofErr w:type="spellEnd"/>
      <w:r>
        <w:rPr>
          <w:color w:val="000000"/>
        </w:rPr>
        <w:t xml:space="preserve"> роботами на строк до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обмеженням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волі</w:t>
      </w:r>
      <w:proofErr w:type="spellEnd"/>
      <w:r>
        <w:rPr>
          <w:color w:val="000000"/>
        </w:rPr>
        <w:t xml:space="preserve"> на строк до </w:t>
      </w:r>
      <w:proofErr w:type="spellStart"/>
      <w:proofErr w:type="gramStart"/>
      <w:r>
        <w:rPr>
          <w:color w:val="000000"/>
        </w:rPr>
        <w:t>п'яти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позбавленням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волі</w:t>
      </w:r>
      <w:proofErr w:type="spellEnd"/>
      <w:r>
        <w:rPr>
          <w:color w:val="000000"/>
        </w:rPr>
        <w:t xml:space="preserve"> на строк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п'яти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>.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" w:name="n2750"/>
      <w:bookmarkEnd w:id="4"/>
      <w:r>
        <w:rPr>
          <w:rStyle w:val="rvts46"/>
          <w:i/>
          <w:iCs/>
          <w:color w:val="000000"/>
          <w:bdr w:val="none" w:sz="0" w:space="0" w:color="auto" w:frame="1"/>
        </w:rPr>
        <w:t>{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Стаття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384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змінами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внесеними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згідно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Законами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4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2456-IV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03.03.2005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>,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5" w:anchor="n279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890-VI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15.01.2009</w:t>
        </w:r>
      </w:hyperlink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>
        <w:rPr>
          <w:rStyle w:val="rvts46"/>
          <w:i/>
          <w:iCs/>
          <w:color w:val="000000"/>
          <w:bdr w:val="none" w:sz="0" w:space="0" w:color="auto" w:frame="1"/>
        </w:rPr>
        <w:t xml:space="preserve">- Закон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визнано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неконституційним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згідно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rvts46"/>
          <w:i/>
          <w:iCs/>
          <w:color w:val="000000"/>
          <w:bdr w:val="none" w:sz="0" w:space="0" w:color="auto" w:frame="1"/>
        </w:rPr>
        <w:t>Р</w:t>
      </w:r>
      <w:proofErr w:type="gramEnd"/>
      <w:r>
        <w:rPr>
          <w:rStyle w:val="rvts46"/>
          <w:i/>
          <w:iCs/>
          <w:color w:val="000000"/>
          <w:bdr w:val="none" w:sz="0" w:space="0" w:color="auto" w:frame="1"/>
        </w:rPr>
        <w:t>ішенням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Конституційного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Суду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6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20-рп/2009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10.09.2009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 xml:space="preserve">;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змінами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внесеними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згідно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Законами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7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2677-VI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04.11.2010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>,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8" w:anchor="n26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245-VII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16.05.2013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>}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" w:name="n2751"/>
      <w:bookmarkEnd w:id="5"/>
      <w:proofErr w:type="spellStart"/>
      <w:r>
        <w:rPr>
          <w:rStyle w:val="rvts9"/>
          <w:b/>
          <w:bCs/>
          <w:color w:val="000000"/>
          <w:bdr w:val="none" w:sz="0" w:space="0" w:color="auto" w:frame="1"/>
        </w:rPr>
        <w:t>Стаття</w:t>
      </w:r>
      <w:proofErr w:type="spellEnd"/>
      <w:r>
        <w:rPr>
          <w:rStyle w:val="rvts9"/>
          <w:b/>
          <w:bCs/>
          <w:color w:val="000000"/>
          <w:bdr w:val="none" w:sz="0" w:space="0" w:color="auto" w:frame="1"/>
        </w:rPr>
        <w:t xml:space="preserve"> 385.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Відмова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ідка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відмова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експерта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перекладача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покладених</w:t>
      </w:r>
      <w:proofErr w:type="spellEnd"/>
      <w:r>
        <w:rPr>
          <w:color w:val="000000"/>
        </w:rPr>
        <w:t xml:space="preserve"> на них </w:t>
      </w:r>
      <w:proofErr w:type="spellStart"/>
      <w:r>
        <w:rPr>
          <w:color w:val="000000"/>
        </w:rPr>
        <w:t>обов'язків</w:t>
      </w:r>
      <w:proofErr w:type="spellEnd"/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6" w:name="n2752"/>
      <w:bookmarkEnd w:id="6"/>
      <w:r>
        <w:rPr>
          <w:color w:val="000000"/>
        </w:rPr>
        <w:t xml:space="preserve">1. </w:t>
      </w:r>
      <w:proofErr w:type="spellStart"/>
      <w:r>
        <w:rPr>
          <w:color w:val="000000"/>
        </w:rPr>
        <w:t>Відмова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свідка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відмова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експерта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перекладача</w:t>
      </w:r>
      <w:proofErr w:type="spellEnd"/>
      <w:r>
        <w:rPr>
          <w:color w:val="000000"/>
        </w:rPr>
        <w:t xml:space="preserve"> без </w:t>
      </w:r>
      <w:proofErr w:type="spellStart"/>
      <w:r>
        <w:rPr>
          <w:color w:val="000000"/>
        </w:rPr>
        <w:t>поважних</w:t>
      </w:r>
      <w:proofErr w:type="spellEnd"/>
      <w:r>
        <w:rPr>
          <w:color w:val="000000"/>
        </w:rPr>
        <w:t xml:space="preserve"> причин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покладених</w:t>
      </w:r>
      <w:proofErr w:type="spellEnd"/>
      <w:r>
        <w:rPr>
          <w:color w:val="000000"/>
        </w:rPr>
        <w:t xml:space="preserve"> на них </w:t>
      </w:r>
      <w:proofErr w:type="spellStart"/>
      <w:r>
        <w:rPr>
          <w:color w:val="000000"/>
        </w:rPr>
        <w:t>обов'язків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суді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провадження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досудового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розслідування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здійснення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провадження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розслідування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тимчасовою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слідчою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комісією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Верховно</w:t>
      </w:r>
      <w:proofErr w:type="gramStart"/>
      <w:r>
        <w:rPr>
          <w:color w:val="000000"/>
        </w:rPr>
        <w:t>ї</w:t>
      </w:r>
      <w:proofErr w:type="spellEnd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ади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-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7" w:name="n2753"/>
      <w:bookmarkEnd w:id="7"/>
      <w:proofErr w:type="spellStart"/>
      <w:r>
        <w:rPr>
          <w:color w:val="000000"/>
        </w:rPr>
        <w:t>караються</w:t>
      </w:r>
      <w:proofErr w:type="spellEnd"/>
      <w:r>
        <w:rPr>
          <w:color w:val="000000"/>
        </w:rPr>
        <w:t xml:space="preserve"> штрафом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п'ятдесяти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трьохсот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неоподатковуваних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мінімумів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громадян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арештом</w:t>
      </w:r>
      <w:proofErr w:type="spellEnd"/>
      <w:r>
        <w:rPr>
          <w:color w:val="000000"/>
        </w:rPr>
        <w:t xml:space="preserve"> на строк до шести </w:t>
      </w:r>
      <w:proofErr w:type="spellStart"/>
      <w:r>
        <w:rPr>
          <w:color w:val="000000"/>
        </w:rPr>
        <w:t>місяці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>.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8" w:name="n2754"/>
      <w:bookmarkEnd w:id="8"/>
      <w:r>
        <w:rPr>
          <w:color w:val="000000"/>
        </w:rPr>
        <w:t xml:space="preserve">2. Не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ідлягає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кримінальній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відповідальності</w:t>
      </w:r>
      <w:proofErr w:type="spellEnd"/>
      <w:r>
        <w:rPr>
          <w:color w:val="000000"/>
        </w:rPr>
        <w:t xml:space="preserve"> особа за </w:t>
      </w:r>
      <w:proofErr w:type="spellStart"/>
      <w:r>
        <w:rPr>
          <w:color w:val="000000"/>
        </w:rPr>
        <w:t>відмову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провадження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досудового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розслідування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суді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себе,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членів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сім'ї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близьких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родичів</w:t>
      </w:r>
      <w:proofErr w:type="spellEnd"/>
      <w:r>
        <w:rPr>
          <w:color w:val="000000"/>
        </w:rPr>
        <w:t xml:space="preserve">, коло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визначається</w:t>
      </w:r>
      <w:proofErr w:type="spellEnd"/>
      <w:r>
        <w:rPr>
          <w:color w:val="000000"/>
        </w:rPr>
        <w:t xml:space="preserve"> законом.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9" w:name="n2755"/>
      <w:bookmarkEnd w:id="9"/>
      <w:r>
        <w:rPr>
          <w:rStyle w:val="rvts46"/>
          <w:i/>
          <w:iCs/>
          <w:color w:val="000000"/>
          <w:bdr w:val="none" w:sz="0" w:space="0" w:color="auto" w:frame="1"/>
        </w:rPr>
        <w:t>{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Стаття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385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змінами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внесеними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згідно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Законами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9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2456-IV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03.03.2005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>,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0" w:anchor="n279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890-VI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15.01.2009</w:t>
        </w:r>
      </w:hyperlink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>
        <w:rPr>
          <w:rStyle w:val="rvts46"/>
          <w:i/>
          <w:iCs/>
          <w:color w:val="000000"/>
          <w:bdr w:val="none" w:sz="0" w:space="0" w:color="auto" w:frame="1"/>
        </w:rPr>
        <w:t xml:space="preserve">- Закон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визнано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неконституційним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згідно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rvts46"/>
          <w:i/>
          <w:iCs/>
          <w:color w:val="000000"/>
          <w:bdr w:val="none" w:sz="0" w:space="0" w:color="auto" w:frame="1"/>
        </w:rPr>
        <w:t>Р</w:t>
      </w:r>
      <w:proofErr w:type="gramEnd"/>
      <w:r>
        <w:rPr>
          <w:rStyle w:val="rvts46"/>
          <w:i/>
          <w:iCs/>
          <w:color w:val="000000"/>
          <w:bdr w:val="none" w:sz="0" w:space="0" w:color="auto" w:frame="1"/>
        </w:rPr>
        <w:t>ішенням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Конституційного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Суду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1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20-рп/2009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10.09.2009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 xml:space="preserve">;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змінами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внесеними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згідно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Законом</w:t>
      </w:r>
      <w:hyperlink r:id="rId12" w:anchor="n95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>№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4652-VI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13.04.2012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>}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0" w:name="n2756"/>
      <w:bookmarkEnd w:id="10"/>
      <w:proofErr w:type="spellStart"/>
      <w:r>
        <w:rPr>
          <w:rStyle w:val="rvts9"/>
          <w:b/>
          <w:bCs/>
          <w:color w:val="000000"/>
          <w:bdr w:val="none" w:sz="0" w:space="0" w:color="auto" w:frame="1"/>
        </w:rPr>
        <w:t>Стаття</w:t>
      </w:r>
      <w:proofErr w:type="spellEnd"/>
      <w:r>
        <w:rPr>
          <w:rStyle w:val="rvts9"/>
          <w:b/>
          <w:bCs/>
          <w:color w:val="000000"/>
          <w:bdr w:val="none" w:sz="0" w:space="0" w:color="auto" w:frame="1"/>
        </w:rPr>
        <w:t xml:space="preserve"> 386.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Перешкоджання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з'явленню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ідка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потерпілого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експерта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примушування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відмови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висновку</w:t>
      </w:r>
      <w:proofErr w:type="spellEnd"/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1" w:name="n2757"/>
      <w:bookmarkEnd w:id="11"/>
      <w:proofErr w:type="spellStart"/>
      <w:r>
        <w:rPr>
          <w:color w:val="000000"/>
        </w:rPr>
        <w:t>Перешкоджання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з'явленню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свідка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потерпілого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експерта</w:t>
      </w:r>
      <w:proofErr w:type="spellEnd"/>
      <w:r>
        <w:rPr>
          <w:color w:val="000000"/>
        </w:rPr>
        <w:t xml:space="preserve"> до суду, </w:t>
      </w:r>
      <w:proofErr w:type="spellStart"/>
      <w:r>
        <w:rPr>
          <w:color w:val="000000"/>
        </w:rPr>
        <w:t>органів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досудового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розслідування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тимчасових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слідчих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спеціальної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тимчасової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слідчої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Верховно</w:t>
      </w:r>
      <w:proofErr w:type="gramStart"/>
      <w:r>
        <w:rPr>
          <w:color w:val="000000"/>
        </w:rPr>
        <w:t>ї</w:t>
      </w:r>
      <w:proofErr w:type="spellEnd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ади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примушування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відмови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висновку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lastRenderedPageBreak/>
        <w:t>давання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завідомо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неправдивих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висновку</w:t>
      </w:r>
      <w:proofErr w:type="spellEnd"/>
      <w:r>
        <w:rPr>
          <w:color w:val="000000"/>
        </w:rPr>
        <w:t xml:space="preserve"> шляхом погрози </w:t>
      </w:r>
      <w:proofErr w:type="spellStart"/>
      <w:r>
        <w:rPr>
          <w:color w:val="000000"/>
        </w:rPr>
        <w:t>вбивством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насильством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знищенням</w:t>
      </w:r>
      <w:proofErr w:type="spellEnd"/>
      <w:r>
        <w:rPr>
          <w:color w:val="000000"/>
        </w:rPr>
        <w:t xml:space="preserve"> майна </w:t>
      </w:r>
      <w:proofErr w:type="spellStart"/>
      <w:r>
        <w:rPr>
          <w:color w:val="000000"/>
        </w:rPr>
        <w:t>цих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близьких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родичів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розголошення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ганьблять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свідка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потерпілого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експерта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тією</w:t>
      </w:r>
      <w:proofErr w:type="spellEnd"/>
      <w:r>
        <w:rPr>
          <w:color w:val="000000"/>
        </w:rPr>
        <w:t xml:space="preserve"> самою метою,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погроза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вчинити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зазначені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помсти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раніше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висновок</w:t>
      </w:r>
      <w:proofErr w:type="spellEnd"/>
      <w:r>
        <w:rPr>
          <w:color w:val="000000"/>
        </w:rPr>
        <w:t xml:space="preserve"> -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2" w:name="n2758"/>
      <w:bookmarkEnd w:id="12"/>
      <w:proofErr w:type="spellStart"/>
      <w:r>
        <w:rPr>
          <w:color w:val="000000"/>
        </w:rPr>
        <w:t>караються</w:t>
      </w:r>
      <w:proofErr w:type="spellEnd"/>
      <w:r>
        <w:rPr>
          <w:color w:val="000000"/>
        </w:rPr>
        <w:t xml:space="preserve"> штрафом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п'ятдесяти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трьохсот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неоподатковуваних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мінімумів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громадян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виправними</w:t>
      </w:r>
      <w:proofErr w:type="spellEnd"/>
      <w:r>
        <w:rPr>
          <w:color w:val="000000"/>
        </w:rPr>
        <w:t xml:space="preserve"> роботами на строк до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арештом</w:t>
      </w:r>
      <w:proofErr w:type="spellEnd"/>
      <w:r>
        <w:rPr>
          <w:color w:val="000000"/>
        </w:rPr>
        <w:t xml:space="preserve"> на строк до шести </w:t>
      </w:r>
      <w:proofErr w:type="spellStart"/>
      <w:r>
        <w:rPr>
          <w:color w:val="000000"/>
        </w:rPr>
        <w:t>місяці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>.</w:t>
      </w:r>
    </w:p>
    <w:p w:rsidR="002141FE" w:rsidRDefault="002141FE" w:rsidP="002141F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3" w:name="n2759"/>
      <w:bookmarkEnd w:id="13"/>
      <w:r>
        <w:rPr>
          <w:rStyle w:val="rvts46"/>
          <w:i/>
          <w:iCs/>
          <w:color w:val="000000"/>
          <w:bdr w:val="none" w:sz="0" w:space="0" w:color="auto" w:frame="1"/>
        </w:rPr>
        <w:t>{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Стаття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386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змінами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внесеними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згідно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Законом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3" w:anchor="n280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890-VI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15.01.2009</w:t>
        </w:r>
      </w:hyperlink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>
        <w:rPr>
          <w:rStyle w:val="rvts46"/>
          <w:i/>
          <w:iCs/>
          <w:color w:val="000000"/>
          <w:bdr w:val="none" w:sz="0" w:space="0" w:color="auto" w:frame="1"/>
        </w:rPr>
        <w:t xml:space="preserve">- Закон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визнано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неконституційним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згідно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rvts46"/>
          <w:i/>
          <w:iCs/>
          <w:color w:val="000000"/>
          <w:bdr w:val="none" w:sz="0" w:space="0" w:color="auto" w:frame="1"/>
        </w:rPr>
        <w:t>Р</w:t>
      </w:r>
      <w:proofErr w:type="gramEnd"/>
      <w:r>
        <w:rPr>
          <w:rStyle w:val="rvts46"/>
          <w:i/>
          <w:iCs/>
          <w:color w:val="000000"/>
          <w:bdr w:val="none" w:sz="0" w:space="0" w:color="auto" w:frame="1"/>
        </w:rPr>
        <w:t>ішенням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Конституційного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Суду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4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20-рп/2009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10.09.2009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 xml:space="preserve">;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змінами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внесеними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згідно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46"/>
          <w:i/>
          <w:iCs/>
          <w:color w:val="000000"/>
          <w:bdr w:val="none" w:sz="0" w:space="0" w:color="auto" w:frame="1"/>
        </w:rPr>
        <w:t>із</w:t>
      </w:r>
      <w:proofErr w:type="spellEnd"/>
      <w:r>
        <w:rPr>
          <w:rStyle w:val="rvts46"/>
          <w:i/>
          <w:iCs/>
          <w:color w:val="000000"/>
          <w:bdr w:val="none" w:sz="0" w:space="0" w:color="auto" w:frame="1"/>
        </w:rPr>
        <w:t xml:space="preserve"> Законами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5" w:anchor="n99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4652-VI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13.04.2012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>,</w:t>
      </w:r>
      <w:r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6" w:anchor="n27" w:tgtFrame="_blank" w:history="1"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№ 245-VII </w:t>
        </w:r>
        <w:proofErr w:type="spellStart"/>
        <w:r>
          <w:rPr>
            <w:rStyle w:val="a3"/>
            <w:i/>
            <w:iCs/>
            <w:color w:val="000099"/>
            <w:bdr w:val="none" w:sz="0" w:space="0" w:color="auto" w:frame="1"/>
          </w:rPr>
          <w:t>від</w:t>
        </w:r>
        <w:proofErr w:type="spellEnd"/>
        <w:r>
          <w:rPr>
            <w:rStyle w:val="a3"/>
            <w:i/>
            <w:iCs/>
            <w:color w:val="000099"/>
            <w:bdr w:val="none" w:sz="0" w:space="0" w:color="auto" w:frame="1"/>
          </w:rPr>
          <w:t xml:space="preserve"> 16.05.2013</w:t>
        </w:r>
      </w:hyperlink>
      <w:r>
        <w:rPr>
          <w:rStyle w:val="rvts46"/>
          <w:i/>
          <w:iCs/>
          <w:color w:val="000000"/>
          <w:bdr w:val="none" w:sz="0" w:space="0" w:color="auto" w:frame="1"/>
        </w:rPr>
        <w:t>}</w:t>
      </w:r>
    </w:p>
    <w:p w:rsidR="002141FE" w:rsidRPr="002141FE" w:rsidRDefault="002141FE" w:rsidP="002141FE">
      <w:pPr>
        <w:jc w:val="center"/>
        <w:rPr>
          <w:rFonts w:ascii="Times New Roman" w:hAnsi="Times New Roman" w:cs="Times New Roman"/>
          <w:lang w:val="uk-UA"/>
        </w:rPr>
      </w:pPr>
    </w:p>
    <w:sectPr w:rsidR="002141FE" w:rsidRPr="002141FE" w:rsidSect="0065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FE"/>
    <w:rsid w:val="002141FE"/>
    <w:rsid w:val="0065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1FE"/>
  </w:style>
  <w:style w:type="paragraph" w:customStyle="1" w:styleId="rvps2">
    <w:name w:val="rvps2"/>
    <w:basedOn w:val="a"/>
    <w:rsid w:val="0021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141FE"/>
  </w:style>
  <w:style w:type="character" w:customStyle="1" w:styleId="rvts46">
    <w:name w:val="rvts46"/>
    <w:basedOn w:val="a0"/>
    <w:rsid w:val="002141FE"/>
  </w:style>
  <w:style w:type="character" w:styleId="a3">
    <w:name w:val="Hyperlink"/>
    <w:basedOn w:val="a0"/>
    <w:uiPriority w:val="99"/>
    <w:semiHidden/>
    <w:unhideWhenUsed/>
    <w:rsid w:val="002141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-18/paran26" TargetMode="External"/><Relationship Id="rId13" Type="http://schemas.openxmlformats.org/officeDocument/2006/relationships/hyperlink" Target="http://zakon4.rada.gov.ua/laws/show/890-17/paran2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2677-17" TargetMode="External"/><Relationship Id="rId12" Type="http://schemas.openxmlformats.org/officeDocument/2006/relationships/hyperlink" Target="http://zakon4.rada.gov.ua/laws/show/4652-17/paran9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kon4.rada.gov.ua/laws/show/245-18/paran2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v020p710-09" TargetMode="External"/><Relationship Id="rId11" Type="http://schemas.openxmlformats.org/officeDocument/2006/relationships/hyperlink" Target="http://zakon4.rada.gov.ua/laws/show/v020p710-09" TargetMode="External"/><Relationship Id="rId5" Type="http://schemas.openxmlformats.org/officeDocument/2006/relationships/hyperlink" Target="http://zakon4.rada.gov.ua/laws/show/890-17/paran279" TargetMode="External"/><Relationship Id="rId15" Type="http://schemas.openxmlformats.org/officeDocument/2006/relationships/hyperlink" Target="http://zakon4.rada.gov.ua/laws/show/4652-17/paran99" TargetMode="External"/><Relationship Id="rId10" Type="http://schemas.openxmlformats.org/officeDocument/2006/relationships/hyperlink" Target="http://zakon4.rada.gov.ua/laws/show/890-17/paran279" TargetMode="External"/><Relationship Id="rId4" Type="http://schemas.openxmlformats.org/officeDocument/2006/relationships/hyperlink" Target="http://zakon4.rada.gov.ua/laws/show/2456-15" TargetMode="External"/><Relationship Id="rId9" Type="http://schemas.openxmlformats.org/officeDocument/2006/relationships/hyperlink" Target="http://zakon4.rada.gov.ua/laws/show/2456-15" TargetMode="External"/><Relationship Id="rId14" Type="http://schemas.openxmlformats.org/officeDocument/2006/relationships/hyperlink" Target="http://zakon4.rada.gov.ua/laws/show/v020p710-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4145</Characters>
  <Application>Microsoft Office Word</Application>
  <DocSecurity>0</DocSecurity>
  <Lines>86</Lines>
  <Paragraphs>30</Paragraphs>
  <ScaleCrop>false</ScaleCrop>
  <Company>Grizli777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2016-02-10T12:28:00Z</dcterms:created>
  <dcterms:modified xsi:type="dcterms:W3CDTF">2016-02-10T12:31:00Z</dcterms:modified>
</cp:coreProperties>
</file>